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cyan"/>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keepNext w:val="1"/>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18 (Background Checks) </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When you should use this Schedule</w:t>
      </w:r>
    </w:p>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This Schedule should be used where Supplier Staff must be vetted before working on Contract. </w:t>
      </w:r>
    </w:p>
    <w:p w:rsidR="00000000" w:rsidDel="00000000" w:rsidP="00000000" w:rsidRDefault="00000000" w:rsidRPr="00000000" w14:paraId="00000007">
      <w:pPr>
        <w:keepNext w:val="1"/>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smallCaps w:val="1"/>
          <w:color w:val="000000"/>
          <w:sz w:val="24"/>
          <w:szCs w:val="24"/>
        </w:rPr>
      </w:pPr>
      <w:bookmarkStart w:colFirst="0" w:colLast="0" w:name="_heading=h.gjdgxs" w:id="0"/>
      <w:bookmarkEnd w:id="0"/>
      <w:r w:rsidDel="00000000" w:rsidR="00000000" w:rsidRPr="00000000">
        <w:rPr>
          <w:rFonts w:ascii="Arial Bold" w:cs="Arial Bold" w:eastAsia="Arial Bold" w:hAnsi="Arial Bold"/>
          <w:b w:val="1"/>
          <w:color w:val="000000"/>
          <w:sz w:val="24"/>
          <w:szCs w:val="24"/>
          <w:rtl w:val="0"/>
        </w:rPr>
        <w:t xml:space="preserve">Definitions</w:t>
      </w:r>
      <w:r w:rsidDel="00000000" w:rsidR="00000000" w:rsidRPr="00000000">
        <w:rPr>
          <w:rtl w:val="0"/>
        </w:rPr>
      </w:r>
    </w:p>
    <w:p w:rsidR="00000000" w:rsidDel="00000000" w:rsidP="00000000" w:rsidRDefault="00000000" w:rsidRPr="00000000" w14:paraId="00000008">
      <w:pPr>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“Relevant Conviction”</w:t>
      </w:r>
      <w:r w:rsidDel="00000000" w:rsidR="00000000" w:rsidRPr="00000000">
        <w:rPr>
          <w:rFonts w:ascii="Arial" w:cs="Arial" w:eastAsia="Arial" w:hAnsi="Arial"/>
          <w:sz w:val="24"/>
          <w:szCs w:val="24"/>
          <w:rtl w:val="0"/>
        </w:rPr>
        <w:t xml:space="preserve"> means any conviction listed in Annex 1 to this Schedule. </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Relevant Convictions</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pos="1134"/>
          <w:tab w:val="left" w:pos="2127"/>
        </w:tabs>
        <w:spacing w:after="120" w:before="120" w:line="240" w:lineRule="auto"/>
        <w:ind w:left="2127" w:hanging="993"/>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must ensure that no person who discloses that they have a Relevant Conviction, or a person who is found to have any Relevant Convictions (whether as a result of a police check or through the procedure of the Disclosure and Barring Service (DBS) or otherwise), is employed or engaged in any part of the provision of the Deliverables without Approval.</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pos="1134"/>
          <w:tab w:val="left" w:pos="2127"/>
        </w:tabs>
        <w:spacing w:after="120" w:before="120" w:line="240" w:lineRule="auto"/>
        <w:ind w:left="2127" w:hanging="99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Paragraph 2.1.1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w:t>
      </w:r>
    </w:p>
    <w:p w:rsidR="00000000" w:rsidDel="00000000" w:rsidP="00000000" w:rsidRDefault="00000000" w:rsidRPr="00000000" w14:paraId="0000000C">
      <w:pPr>
        <w:numPr>
          <w:ilvl w:val="3"/>
          <w:numId w:val="1"/>
        </w:numPr>
        <w:pBdr>
          <w:top w:space="0" w:sz="0" w:val="nil"/>
          <w:left w:space="0" w:sz="0" w:val="nil"/>
          <w:bottom w:space="0" w:sz="0" w:val="nil"/>
          <w:right w:space="0" w:sz="0" w:val="nil"/>
          <w:between w:space="0" w:sz="0" w:val="nil"/>
        </w:pBdr>
        <w:tabs>
          <w:tab w:val="left" w:pos="1134"/>
        </w:tabs>
        <w:spacing w:after="120" w:before="120" w:line="240" w:lineRule="auto"/>
        <w:ind w:left="2835"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carry out a check with the records held by the Department for Education (DfE);</w:t>
      </w:r>
    </w:p>
    <w:p w:rsidR="00000000" w:rsidDel="00000000" w:rsidP="00000000" w:rsidRDefault="00000000" w:rsidRPr="00000000" w14:paraId="0000000D">
      <w:pPr>
        <w:numPr>
          <w:ilvl w:val="3"/>
          <w:numId w:val="1"/>
        </w:numPr>
        <w:pBdr>
          <w:top w:space="0" w:sz="0" w:val="nil"/>
          <w:left w:space="0" w:sz="0" w:val="nil"/>
          <w:bottom w:space="0" w:sz="0" w:val="nil"/>
          <w:right w:space="0" w:sz="0" w:val="nil"/>
          <w:between w:space="0" w:sz="0" w:val="nil"/>
        </w:pBdr>
        <w:tabs>
          <w:tab w:val="left" w:pos="1134"/>
        </w:tabs>
        <w:spacing w:after="120" w:before="120" w:line="240" w:lineRule="auto"/>
        <w:ind w:left="2835"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thorough questioning regarding any Relevant Convictions; and</w:t>
      </w:r>
    </w:p>
    <w:p w:rsidR="00000000" w:rsidDel="00000000" w:rsidP="00000000" w:rsidRDefault="00000000" w:rsidRPr="00000000" w14:paraId="0000000E">
      <w:pPr>
        <w:numPr>
          <w:ilvl w:val="3"/>
          <w:numId w:val="1"/>
        </w:numPr>
        <w:pBdr>
          <w:top w:space="0" w:sz="0" w:val="nil"/>
          <w:left w:space="0" w:sz="0" w:val="nil"/>
          <w:bottom w:space="0" w:sz="0" w:val="nil"/>
          <w:right w:space="0" w:sz="0" w:val="nil"/>
          <w:between w:space="0" w:sz="0" w:val="nil"/>
        </w:pBdr>
        <w:tabs>
          <w:tab w:val="left" w:pos="1134"/>
        </w:tabs>
        <w:spacing w:after="120" w:before="120" w:line="240" w:lineRule="auto"/>
        <w:ind w:left="2835"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a police check is completed and such other checks as may be carried out through the Disclosure and Barring Service (DBS),</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pos="2127"/>
        </w:tabs>
        <w:spacing w:after="120" w:before="120" w:line="240" w:lineRule="auto"/>
        <w:ind w:left="2127"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shall not (and shall ensure that any Sub-Contractor shall not) engage or continue to employ in the provision of the Deliverables any person who has a Relevant Conviction or an inappropriate record.</w:t>
      </w:r>
    </w:p>
    <w:p w:rsidR="00000000" w:rsidDel="00000000" w:rsidP="00000000" w:rsidRDefault="00000000" w:rsidRPr="00000000" w14:paraId="00000010">
      <w:pPr>
        <w:rPr>
          <w:rFonts w:ascii="Arial" w:cs="Arial" w:eastAsia="Arial" w:hAnsi="Arial"/>
          <w:b w:val="1"/>
          <w:smallCaps w:val="1"/>
          <w:sz w:val="20"/>
          <w:szCs w:val="20"/>
        </w:rPr>
      </w:pPr>
      <w:bookmarkStart w:colFirst="0" w:colLast="0" w:name="_heading=h.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11">
      <w:pPr>
        <w:keepNext w:val="1"/>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12">
      <w:pPr>
        <w:keepNext w:val="1"/>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 Relevant Convictions</w:t>
      </w:r>
    </w:p>
    <w:p w:rsidR="00000000" w:rsidDel="00000000" w:rsidP="00000000" w:rsidRDefault="00000000" w:rsidRPr="00000000" w14:paraId="0000001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rPr>
          <w:rFonts w:ascii="Arial" w:cs="Arial" w:eastAsia="Arial" w:hAnsi="Arial"/>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Relevant Convictions here]</w:t>
      </w:r>
    </w:p>
    <w:p w:rsidR="00000000" w:rsidDel="00000000" w:rsidP="00000000" w:rsidRDefault="00000000" w:rsidRPr="00000000" w14:paraId="00000015">
      <w:pPr>
        <w:rPr/>
      </w:pPr>
      <w:bookmarkStart w:colFirst="0" w:colLast="0" w:name="_heading=h.3znysh7" w:id="3"/>
      <w:bookmarkEnd w:id="3"/>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1E">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1</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 v3.0</w:t>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pos="4513"/>
        <w:tab w:val="right"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tabs>
        <w:tab w:val="center" w:pos="4513"/>
        <w:tab w:val="right" w:pos="9026"/>
      </w:tabs>
      <w:spacing w:after="0" w:lineRule="auto"/>
      <w:rPr>
        <w:rFonts w:ascii="Arial" w:cs="Arial" w:eastAsia="Arial" w:hAnsi="Arial"/>
        <w:sz w:val="20"/>
        <w:szCs w:val="20"/>
      </w:rPr>
    </w:pPr>
    <w:bookmarkStart w:colFirst="0" w:colLast="0" w:name="_heading=h.2et92p0" w:id="4"/>
    <w:bookmarkEnd w:id="4"/>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spacing w:after="0" w:line="240" w:lineRule="auto"/>
      <w:jc w:val="both"/>
      <w:rPr>
        <w:rFonts w:ascii="Arial" w:cs="Arial" w:eastAsia="Arial" w:hAnsi="Arial"/>
        <w:sz w:val="18"/>
        <w:szCs w:val="18"/>
      </w:rPr>
    </w:pPr>
    <w:r w:rsidDel="00000000" w:rsidR="00000000" w:rsidRPr="00000000">
      <w:rPr>
        <w:rFonts w:ascii="Arial" w:cs="Arial" w:eastAsia="Arial" w:hAnsi="Arial"/>
        <w:sz w:val="20"/>
        <w:szCs w:val="20"/>
        <w:rtl w:val="0"/>
      </w:rPr>
      <w:t xml:space="preserve">Model Version: v3.0</w:t>
    </w:r>
    <w:bookmarkStart w:colFirst="0" w:colLast="0" w:name="bookmark=id.2et92p0" w:id="5"/>
    <w:bookmarkEnd w:id="5"/>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18 (Background Checks)</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4"/>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4"/>
      </w:numPr>
      <w:tabs>
        <w:tab w:val="num" w:pos="2160"/>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link w:val="GPSL2NumberedBoldHeadingChar"/>
    <w:qFormat w:val="1"/>
    <w:pPr>
      <w:numPr>
        <w:ilvl w:val="1"/>
        <w:numId w:val="4"/>
      </w:numPr>
      <w:adjustRightInd w:val="0"/>
      <w:spacing w:after="120" w:before="120" w:line="240" w:lineRule="auto"/>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5"/>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character" w:styleId="GPSL2NumberedBoldHeadingChar" w:customStyle="1">
    <w:name w:val="GPS L2 Numbered Bold Heading Char"/>
    <w:link w:val="GPSL2NumberedBoldHeading"/>
    <w:rsid w:val="00633ACA"/>
    <w:rPr>
      <w:rFonts w:ascii="Calibri" w:cs="Arial" w:eastAsia="Times New Roman" w:hAnsi="Calibri"/>
      <w:lang w:eastAsia="zh-CN"/>
    </w:rPr>
  </w:style>
  <w:style w:type="paragraph" w:styleId="GPSL3Indent" w:customStyle="1">
    <w:name w:val="GPS L3 Indent"/>
    <w:basedOn w:val="Normal"/>
    <w:rsid w:val="00633ACA"/>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ghMCgP76IivuqpS25IlrF7PEpw==">AMUW2mWlMzFQd0AogdIXO96gFZPtd8jlCWUG6xDvu7oX+9oKMkWrdPuJucnnEBr5QsY1wW7hiN6F+ZADeYEK+gC04fIPiU7BnqLF/bK6EZOIKEXJo/CrE5HgWqQzTbragLXdzBFS3RvnubAX0l5Ny6nIQwZVBE68RiLpysuV7CHfxrqElYUkI19Lqk6uuy7vhZxVJ/Mgh60A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2018-06-18T14:34:00Z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